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AF1C0CA" w14:textId="593BAF79" w:rsidR="00023515" w:rsidRDefault="00D23EBF" w:rsidP="00901971">
      <w:pPr>
        <w:pStyle w:val="Heading2"/>
      </w:pPr>
      <w:r>
        <w:fldChar w:fldCharType="begin"/>
      </w:r>
      <w:r>
        <w:instrText xml:space="preserve"> HYPERLINK "http://nces.ed.gov/pubsearch/pubsinfo.asp?pubid=2007341" </w:instrText>
      </w:r>
      <w:r>
        <w:fldChar w:fldCharType="separate"/>
      </w:r>
      <w:r w:rsidR="00023515" w:rsidRPr="0036118F">
        <w:rPr>
          <w:rStyle w:val="Hyperlink"/>
        </w:rPr>
        <w:t>Subject Area Code</w:t>
      </w:r>
      <w:r>
        <w:rPr>
          <w:rStyle w:val="Hyperlink"/>
        </w:rPr>
        <w:fldChar w:fldCharType="end"/>
      </w:r>
      <w:r w:rsidR="0036118F">
        <w:t xml:space="preserve"> (TSDL)</w:t>
      </w:r>
    </w:p>
    <w:p w14:paraId="51F8CA47" w14:textId="23BABBBE" w:rsidR="005F3B9E" w:rsidRPr="005F3B9E" w:rsidRDefault="005F3B9E" w:rsidP="005F3B9E">
      <w:r>
        <w:t>03 – Life and Physical Science</w:t>
      </w:r>
    </w:p>
    <w:p w14:paraId="7E330A3B" w14:textId="77214248" w:rsidR="005A1AB3" w:rsidRDefault="005A1AB3" w:rsidP="002C0FAD">
      <w:pPr>
        <w:pStyle w:val="Heading2"/>
      </w:pPr>
      <w:r>
        <w:t>Course ID</w:t>
      </w:r>
      <w:r w:rsidR="002C0FAD">
        <w:t xml:space="preserve"> (TSDL)</w:t>
      </w:r>
    </w:p>
    <w:p w14:paraId="5D801432" w14:textId="1731B412" w:rsidR="000D46D0" w:rsidRDefault="00EF1DB4" w:rsidP="000D46D0">
      <w:r>
        <w:t>105</w:t>
      </w:r>
      <w:r w:rsidR="009449D7" w:rsidRPr="00752A42">
        <w:t>–</w:t>
      </w:r>
      <w:r w:rsidR="000D46D0" w:rsidRPr="00752A42">
        <w:t xml:space="preserve"> </w:t>
      </w:r>
      <w:r>
        <w:t>Conceptual Chemistry</w:t>
      </w:r>
    </w:p>
    <w:p w14:paraId="7A1493C9" w14:textId="77777777" w:rsidR="00250E4D" w:rsidRPr="00752A42" w:rsidRDefault="00250E4D" w:rsidP="00250E4D">
      <w:pPr>
        <w:pStyle w:val="Heading2"/>
      </w:pPr>
      <w:r w:rsidRPr="00752A42">
        <w:t xml:space="preserve">Certification of Teacher(s) assigned to course </w:t>
      </w:r>
    </w:p>
    <w:p w14:paraId="411ECB3E" w14:textId="0DC90782" w:rsidR="00752A42" w:rsidRPr="000D46D0" w:rsidRDefault="00EF1DB4" w:rsidP="00250E4D">
      <w:r>
        <w:rPr>
          <w:rFonts w:ascii="Arial" w:hAnsi="Arial" w:cs="Arial"/>
          <w:sz w:val="20"/>
          <w:szCs w:val="20"/>
        </w:rPr>
        <w:t>DC, DI, DX, DP</w:t>
      </w:r>
      <w:r>
        <w:t xml:space="preserve"> </w:t>
      </w:r>
      <w:r w:rsidR="00752A42">
        <w:t>(</w:t>
      </w:r>
      <w:r>
        <w:rPr>
          <w:rFonts w:ascii="Arial" w:hAnsi="Arial" w:cs="Arial"/>
          <w:sz w:val="20"/>
          <w:szCs w:val="20"/>
        </w:rPr>
        <w:t>Chemistry/Integrated Science/Science/Physical Science</w:t>
      </w:r>
      <w:r w:rsidR="00752A42">
        <w:t>)</w:t>
      </w:r>
    </w:p>
    <w:p w14:paraId="3F4BCB09" w14:textId="59B8E3DF" w:rsidR="000D46D0" w:rsidRDefault="000D46D0" w:rsidP="000D46D0">
      <w:pPr>
        <w:pStyle w:val="Heading2"/>
      </w:pPr>
      <w:r w:rsidRPr="000D46D0">
        <w:t>Local Course ID (TSDL)</w:t>
      </w:r>
    </w:p>
    <w:p w14:paraId="33735B8D" w14:textId="237B52D2" w:rsidR="000D46D0" w:rsidRDefault="000D46D0" w:rsidP="000D46D0">
      <w:r w:rsidRPr="00752A42">
        <w:t xml:space="preserve">LP - </w:t>
      </w:r>
      <w:r w:rsidR="00EF1DB4">
        <w:t>105</w:t>
      </w:r>
    </w:p>
    <w:p w14:paraId="693E1411" w14:textId="77777777" w:rsidR="000D46D0" w:rsidRPr="009449D7" w:rsidRDefault="000D46D0" w:rsidP="000D46D0">
      <w:pPr>
        <w:pStyle w:val="Heading2"/>
      </w:pPr>
      <w:r w:rsidRPr="009449D7">
        <w:t>Course Section ID (TSDL)</w:t>
      </w:r>
    </w:p>
    <w:p w14:paraId="3860A4EB" w14:textId="16D4844E" w:rsidR="000D46D0" w:rsidRDefault="00DF3F10" w:rsidP="005F3B9E">
      <w:r w:rsidRPr="009449D7">
        <w:t>00</w:t>
      </w:r>
      <w:r w:rsidR="009449D7" w:rsidRPr="009449D7">
        <w:t>1</w:t>
      </w:r>
    </w:p>
    <w:p w14:paraId="274E5ADE" w14:textId="3E67F7EE" w:rsidR="00D8350B" w:rsidRDefault="00D8350B" w:rsidP="00D8350B">
      <w:pPr>
        <w:pStyle w:val="Heading2"/>
      </w:pPr>
      <w:r>
        <w:t>Course Type (TSDL)</w:t>
      </w:r>
    </w:p>
    <w:p w14:paraId="359F3D21" w14:textId="2875717E" w:rsidR="00D8350B" w:rsidRDefault="00D8350B" w:rsidP="005F3B9E">
      <w:r w:rsidRPr="004C09B3">
        <w:t>01-Regular</w:t>
      </w:r>
    </w:p>
    <w:p w14:paraId="5AF1C0CB" w14:textId="6A7F8E10" w:rsidR="00031934" w:rsidRDefault="00031934" w:rsidP="00901971">
      <w:pPr>
        <w:pStyle w:val="Heading2"/>
      </w:pPr>
      <w:r w:rsidRPr="00031934">
        <w:t>Title of Course</w:t>
      </w:r>
      <w:r w:rsidR="00A85997">
        <w:t xml:space="preserve"> (TSDL)</w:t>
      </w:r>
    </w:p>
    <w:p w14:paraId="2F9E116E" w14:textId="65911CFC" w:rsidR="001E4ACA" w:rsidRDefault="00EF1DB4" w:rsidP="001E4ACA">
      <w:pPr>
        <w:pStyle w:val="Heading2"/>
        <w:spacing w:before="0"/>
        <w:rPr>
          <w:rFonts w:asciiTheme="minorHAnsi" w:eastAsiaTheme="minorHAnsi" w:hAnsiTheme="minorHAnsi" w:cstheme="minorBidi"/>
          <w:b w:val="0"/>
          <w:bCs w:val="0"/>
          <w:color w:val="auto"/>
          <w:sz w:val="22"/>
          <w:szCs w:val="22"/>
        </w:rPr>
      </w:pPr>
      <w:r>
        <w:rPr>
          <w:rFonts w:asciiTheme="minorHAnsi" w:eastAsiaTheme="minorHAnsi" w:hAnsiTheme="minorHAnsi" w:cstheme="minorBidi"/>
          <w:b w:val="0"/>
          <w:bCs w:val="0"/>
          <w:color w:val="auto"/>
          <w:sz w:val="22"/>
          <w:szCs w:val="22"/>
        </w:rPr>
        <w:t>Chemistry Concepts and Applications</w:t>
      </w:r>
    </w:p>
    <w:p w14:paraId="5AF1C0CD" w14:textId="5E0F80A0" w:rsidR="00031934" w:rsidRDefault="00031934" w:rsidP="00901971">
      <w:pPr>
        <w:pStyle w:val="Heading2"/>
      </w:pPr>
      <w:r w:rsidRPr="00031934">
        <w:t>Description of Course</w:t>
      </w:r>
      <w:r>
        <w:t xml:space="preserve"> (must include major content and mode of delivery)</w:t>
      </w:r>
    </w:p>
    <w:p w14:paraId="1A13C788" w14:textId="69B2B73E" w:rsidR="001E4ACA" w:rsidRPr="00EF1DB4" w:rsidRDefault="00EF1DB4" w:rsidP="00EF1DB4">
      <w:pPr>
        <w:rPr>
          <w:color w:val="000000"/>
        </w:rPr>
      </w:pPr>
      <w:r w:rsidRPr="00EF1DB4">
        <w:rPr>
          <w:color w:val="000000"/>
        </w:rPr>
        <w:t xml:space="preserve">Conceptual Chemistry courses are practical, </w:t>
      </w:r>
      <w:proofErr w:type="spellStart"/>
      <w:r w:rsidRPr="00EF1DB4">
        <w:rPr>
          <w:color w:val="000000"/>
        </w:rPr>
        <w:t>nonquantitative</w:t>
      </w:r>
      <w:proofErr w:type="spellEnd"/>
      <w:r w:rsidRPr="00EF1DB4">
        <w:rPr>
          <w:color w:val="000000"/>
        </w:rPr>
        <w:t xml:space="preserve"> chemistry courses designed for students who desire an understanding of chemical concepts and applications. </w:t>
      </w:r>
      <w:r w:rsidR="001E64D9">
        <w:rPr>
          <w:color w:val="000000"/>
        </w:rPr>
        <w:t xml:space="preserve">Through </w:t>
      </w:r>
      <w:r w:rsidRPr="00EF1DB4">
        <w:rPr>
          <w:i/>
          <w:color w:val="000000"/>
        </w:rPr>
        <w:t>Chemistry Concepts and Applications</w:t>
      </w:r>
      <w:r w:rsidR="001E64D9">
        <w:rPr>
          <w:i/>
          <w:color w:val="000000"/>
        </w:rPr>
        <w:t xml:space="preserve"> </w:t>
      </w:r>
      <w:r w:rsidR="001E64D9">
        <w:t>s</w:t>
      </w:r>
      <w:r w:rsidR="001E64D9" w:rsidRPr="001E64D9">
        <w:t xml:space="preserve">tudents </w:t>
      </w:r>
      <w:r w:rsidR="001E64D9">
        <w:t>will</w:t>
      </w:r>
      <w:r w:rsidR="001E64D9" w:rsidRPr="001E64D9">
        <w:t xml:space="preserve"> develop </w:t>
      </w:r>
      <w:r w:rsidR="001E64D9">
        <w:t xml:space="preserve">an </w:t>
      </w:r>
      <w:r w:rsidR="001E64D9" w:rsidRPr="001E64D9">
        <w:t xml:space="preserve">understanding of the substructure of atoms and to provide more mechanistic explanations of the properties of substances. Chemical reactions, including rates of reactions and energy changes, </w:t>
      </w:r>
      <w:r w:rsidR="001E64D9">
        <w:t>will be studied</w:t>
      </w:r>
      <w:r w:rsidR="001E64D9" w:rsidRPr="001E64D9">
        <w:t xml:space="preserve"> in terms of the collisions of molecules and the rearrangements of atoms. Students </w:t>
      </w:r>
      <w:r w:rsidR="001E64D9">
        <w:t>will be</w:t>
      </w:r>
      <w:r w:rsidR="001E64D9" w:rsidRPr="001E64D9">
        <w:t xml:space="preserve"> able to use the periodic table as a tool to explain and predict the properties of elements. Using this expanded knowledge of chemical reactions, students </w:t>
      </w:r>
      <w:r w:rsidR="001E64D9">
        <w:t>will be</w:t>
      </w:r>
      <w:r w:rsidR="001E64D9" w:rsidRPr="001E64D9">
        <w:t xml:space="preserve"> able to explain important biological and geophysical phenomena</w:t>
      </w:r>
      <w:r w:rsidR="001E64D9">
        <w:rPr>
          <w:rStyle w:val="FootnoteReference"/>
        </w:rPr>
        <w:footnoteReference w:id="1"/>
      </w:r>
      <w:r w:rsidR="001E64D9" w:rsidRPr="001E64D9">
        <w:t>.</w:t>
      </w:r>
    </w:p>
    <w:p w14:paraId="2000DB19" w14:textId="77777777" w:rsidR="005B6000" w:rsidRPr="005B6000" w:rsidRDefault="005B6000" w:rsidP="005B6000"/>
    <w:p w14:paraId="5AF1C0D1" w14:textId="03DA662E" w:rsidR="00031934" w:rsidRDefault="00031934" w:rsidP="001E4ACA">
      <w:pPr>
        <w:pStyle w:val="Heading2"/>
      </w:pPr>
      <w:r w:rsidRPr="00A824BE">
        <w:t>Length of Course (hours, days, weeks, semesters)</w:t>
      </w:r>
    </w:p>
    <w:p w14:paraId="4EFDC031" w14:textId="01EA7685" w:rsidR="000D46D0" w:rsidRPr="000D46D0" w:rsidRDefault="00EF1DB4" w:rsidP="000D46D0">
      <w:r>
        <w:t>2</w:t>
      </w:r>
      <w:r w:rsidR="001E4ACA">
        <w:t xml:space="preserve"> semester</w:t>
      </w:r>
      <w:r>
        <w:t>s</w:t>
      </w:r>
    </w:p>
    <w:p w14:paraId="5AF1C0D3" w14:textId="77777777" w:rsidR="00901971" w:rsidRDefault="00C90CD9" w:rsidP="00901971">
      <w:pPr>
        <w:pStyle w:val="Heading2"/>
      </w:pPr>
      <w:r w:rsidRPr="00031934">
        <w:t xml:space="preserve">Credit </w:t>
      </w:r>
    </w:p>
    <w:p w14:paraId="5AF1C0D4" w14:textId="12D91151" w:rsidR="0099127F" w:rsidRDefault="001E64D9" w:rsidP="00901971">
      <w:pPr>
        <w:pStyle w:val="Heading3"/>
        <w:ind w:firstLine="720"/>
      </w:pPr>
      <w:r>
        <w:t>TSDL (</w:t>
      </w:r>
      <w:r w:rsidR="00A824BE">
        <w:t>Carnegie units</w:t>
      </w:r>
      <w:r>
        <w:t>)</w:t>
      </w:r>
      <w:r w:rsidR="0099127F">
        <w:t>:</w:t>
      </w:r>
    </w:p>
    <w:p w14:paraId="5AF1C0D5" w14:textId="0DD97CBC" w:rsidR="00C90CD9" w:rsidRDefault="00EF1DB4" w:rsidP="0099127F">
      <w:pPr>
        <w:ind w:left="720" w:firstLine="720"/>
      </w:pPr>
      <w:r>
        <w:t>1.0</w:t>
      </w:r>
    </w:p>
    <w:p w14:paraId="5AF1C0D6" w14:textId="681A7720" w:rsidR="0099127F" w:rsidRDefault="001E64D9" w:rsidP="00901971">
      <w:pPr>
        <w:pStyle w:val="Heading3"/>
        <w:ind w:left="720"/>
      </w:pPr>
      <w:r>
        <w:t xml:space="preserve">MMC </w:t>
      </w:r>
    </w:p>
    <w:p w14:paraId="692B34A6" w14:textId="7F6E5226" w:rsidR="00994543" w:rsidRPr="001E64D9" w:rsidRDefault="00EF1DB4" w:rsidP="001E64D9">
      <w:pPr>
        <w:ind w:left="1440"/>
      </w:pPr>
      <w:r>
        <w:t xml:space="preserve">1.0 science </w:t>
      </w:r>
    </w:p>
    <w:p w14:paraId="5AF1C0DB" w14:textId="1A12E025" w:rsidR="00015426" w:rsidRDefault="00250E4D" w:rsidP="00C85920">
      <w:pPr>
        <w:pStyle w:val="Heading2"/>
      </w:pPr>
      <w:r>
        <w:lastRenderedPageBreak/>
        <w:t>Standards Addressed:</w:t>
      </w:r>
    </w:p>
    <w:p w14:paraId="001F5D5E" w14:textId="5A94D4F2" w:rsidR="00250E4D" w:rsidRDefault="00250E4D" w:rsidP="009322AC">
      <w:pPr>
        <w:pStyle w:val="Heading2"/>
      </w:pPr>
      <w:r>
        <w:t>Science:</w:t>
      </w:r>
    </w:p>
    <w:p w14:paraId="24BAB498" w14:textId="77777777" w:rsidR="00EF1DB4" w:rsidRPr="00EF1DB4" w:rsidRDefault="00EF1DB4" w:rsidP="00EF1DB4">
      <w:pPr>
        <w:pStyle w:val="Default"/>
        <w:rPr>
          <w:rFonts w:asciiTheme="minorHAnsi" w:hAnsiTheme="minorHAnsi"/>
          <w:sz w:val="22"/>
          <w:szCs w:val="22"/>
        </w:rPr>
      </w:pPr>
      <w:r w:rsidRPr="00EF1DB4">
        <w:rPr>
          <w:rFonts w:asciiTheme="minorHAnsi" w:hAnsiTheme="minorHAnsi"/>
          <w:b/>
          <w:bCs/>
          <w:sz w:val="22"/>
          <w:szCs w:val="22"/>
        </w:rPr>
        <w:t xml:space="preserve">Structure and Properties of Matter </w:t>
      </w:r>
    </w:p>
    <w:p w14:paraId="29AEED62" w14:textId="77777777" w:rsidR="00EF1DB4" w:rsidRPr="00EF1DB4" w:rsidRDefault="00EF1DB4" w:rsidP="00EF1DB4">
      <w:pPr>
        <w:spacing w:after="120" w:line="240" w:lineRule="auto"/>
        <w:ind w:left="720"/>
        <w:rPr>
          <w:bCs/>
        </w:rPr>
      </w:pPr>
      <w:r w:rsidRPr="00EF1DB4">
        <w:rPr>
          <w:bCs/>
        </w:rPr>
        <w:t xml:space="preserve">HS-PS1-1 Use the periodic table as a model to predict the relative properties of elements based on the patterns of electrons in the outermost energy level of atoms. </w:t>
      </w:r>
    </w:p>
    <w:p w14:paraId="36D58AFD" w14:textId="77777777" w:rsidR="00EF1DB4" w:rsidRPr="00EF1DB4" w:rsidRDefault="00EF1DB4" w:rsidP="00EF1DB4">
      <w:pPr>
        <w:spacing w:after="120" w:line="240" w:lineRule="auto"/>
        <w:ind w:left="720"/>
        <w:rPr>
          <w:bCs/>
        </w:rPr>
      </w:pPr>
      <w:r w:rsidRPr="00EF1DB4">
        <w:rPr>
          <w:bCs/>
        </w:rPr>
        <w:t xml:space="preserve">HS-PS1-3 Plan and conduct an investigation to gather evidence to compare the structure of substances at the bulk scale to infer the strength of electrical forces between particles. </w:t>
      </w:r>
    </w:p>
    <w:p w14:paraId="3941E334" w14:textId="77777777" w:rsidR="00EF1DB4" w:rsidRPr="00EF1DB4" w:rsidRDefault="00EF1DB4" w:rsidP="00EF1DB4">
      <w:pPr>
        <w:spacing w:after="120" w:line="240" w:lineRule="auto"/>
        <w:ind w:left="720"/>
        <w:rPr>
          <w:bCs/>
        </w:rPr>
      </w:pPr>
      <w:r w:rsidRPr="00EF1DB4">
        <w:rPr>
          <w:bCs/>
        </w:rPr>
        <w:t xml:space="preserve">HS-PS1-8 Develop models to illustrate the changes in the composition of the nucleus of the atom and the energy released during the processes of fission, fusion, and radioactive decay. </w:t>
      </w:r>
    </w:p>
    <w:p w14:paraId="2FB60CD2" w14:textId="77777777" w:rsidR="00EF1DB4" w:rsidRPr="00EF1DB4" w:rsidRDefault="00EF1DB4" w:rsidP="00EF1DB4">
      <w:pPr>
        <w:spacing w:after="120" w:line="240" w:lineRule="auto"/>
        <w:ind w:left="720"/>
        <w:rPr>
          <w:bCs/>
        </w:rPr>
      </w:pPr>
      <w:r w:rsidRPr="00EF1DB4">
        <w:rPr>
          <w:bCs/>
        </w:rPr>
        <w:t xml:space="preserve">HS-PS2-6 Communicate scientific and technical information about why the molecular-level structure is important in the functioning of designed materials. * </w:t>
      </w:r>
    </w:p>
    <w:p w14:paraId="7616A057" w14:textId="77777777" w:rsidR="00EF1DB4" w:rsidRPr="00EF1DB4" w:rsidRDefault="00EF1DB4" w:rsidP="00EF1DB4">
      <w:pPr>
        <w:pStyle w:val="Default"/>
        <w:rPr>
          <w:rFonts w:ascii="Calibri" w:hAnsi="Calibri"/>
          <w:sz w:val="22"/>
          <w:szCs w:val="22"/>
        </w:rPr>
      </w:pPr>
      <w:r w:rsidRPr="00EF1DB4">
        <w:rPr>
          <w:rFonts w:ascii="Calibri" w:hAnsi="Calibri"/>
          <w:b/>
          <w:bCs/>
          <w:sz w:val="22"/>
          <w:szCs w:val="22"/>
        </w:rPr>
        <w:t xml:space="preserve">Chemical Reactions </w:t>
      </w:r>
    </w:p>
    <w:p w14:paraId="5D121174" w14:textId="77777777" w:rsidR="00EF1DB4" w:rsidRPr="00EF1DB4" w:rsidRDefault="00EF1DB4" w:rsidP="00EF1DB4">
      <w:pPr>
        <w:spacing w:after="120" w:line="240" w:lineRule="auto"/>
        <w:ind w:left="720"/>
        <w:rPr>
          <w:bCs/>
        </w:rPr>
      </w:pPr>
      <w:r w:rsidRPr="00EF1DB4">
        <w:rPr>
          <w:bCs/>
        </w:rPr>
        <w:t xml:space="preserve">HS-PS1-2 Construct and revise an explanation for the outcome of a simple chemical reaction based on the outermost electron states of atoms, trends in the periodic table, and knowledge of the patterns of chemical properties. </w:t>
      </w:r>
    </w:p>
    <w:p w14:paraId="1934860E" w14:textId="77777777" w:rsidR="00EF1DB4" w:rsidRPr="00EF1DB4" w:rsidRDefault="00EF1DB4" w:rsidP="00EF1DB4">
      <w:pPr>
        <w:spacing w:after="120" w:line="240" w:lineRule="auto"/>
        <w:ind w:left="720"/>
        <w:rPr>
          <w:bCs/>
        </w:rPr>
      </w:pPr>
      <w:r w:rsidRPr="00EF1DB4">
        <w:rPr>
          <w:bCs/>
        </w:rPr>
        <w:t xml:space="preserve">HS-PS1-4 Develop a model to illustrate that the release or absorption of energy from a chemical reaction system depends upon the changes in total bond energy. </w:t>
      </w:r>
    </w:p>
    <w:p w14:paraId="0F0784AE" w14:textId="77777777" w:rsidR="00EF1DB4" w:rsidRPr="00EF1DB4" w:rsidRDefault="00EF1DB4" w:rsidP="00EF1DB4">
      <w:pPr>
        <w:spacing w:after="120" w:line="240" w:lineRule="auto"/>
        <w:ind w:left="720"/>
        <w:rPr>
          <w:bCs/>
        </w:rPr>
      </w:pPr>
      <w:r w:rsidRPr="00EF1DB4">
        <w:rPr>
          <w:bCs/>
        </w:rPr>
        <w:t xml:space="preserve">HS-PS1-5 Apply scientific principles and evidence to provide an explanation about the effects of changing the temperature or concentration of the reacting particles on the rate at which a reaction occurs. </w:t>
      </w:r>
    </w:p>
    <w:p w14:paraId="2E79C687" w14:textId="77777777" w:rsidR="00EF1DB4" w:rsidRPr="00EF1DB4" w:rsidRDefault="00EF1DB4" w:rsidP="00EF1DB4">
      <w:pPr>
        <w:spacing w:after="120" w:line="240" w:lineRule="auto"/>
        <w:ind w:left="720"/>
        <w:rPr>
          <w:bCs/>
        </w:rPr>
      </w:pPr>
      <w:r w:rsidRPr="00EF1DB4">
        <w:rPr>
          <w:bCs/>
        </w:rPr>
        <w:t xml:space="preserve">HS-PS1-6 Refine the design of a chemical system by specifying a change in conditions that would produce increased amounts of products at equilibrium.* </w:t>
      </w:r>
    </w:p>
    <w:p w14:paraId="34009C48" w14:textId="77777777" w:rsidR="00EF1DB4" w:rsidRDefault="00EF1DB4" w:rsidP="00EF1DB4">
      <w:pPr>
        <w:spacing w:after="120" w:line="240" w:lineRule="auto"/>
        <w:ind w:left="720"/>
        <w:rPr>
          <w:bCs/>
        </w:rPr>
      </w:pPr>
      <w:r w:rsidRPr="00EF1DB4">
        <w:rPr>
          <w:bCs/>
        </w:rPr>
        <w:t xml:space="preserve">HS-PS1-7 Use mathematical representations to support the claim that atoms, and therefore mass, are conserved during a chemical reaction. </w:t>
      </w:r>
    </w:p>
    <w:p w14:paraId="1E2B39E4" w14:textId="77777777" w:rsidR="00F560D4" w:rsidRPr="00F560D4" w:rsidRDefault="00F560D4" w:rsidP="00F560D4">
      <w:pPr>
        <w:spacing w:after="120" w:line="240" w:lineRule="auto"/>
        <w:rPr>
          <w:b/>
          <w:bCs/>
        </w:rPr>
      </w:pPr>
      <w:r w:rsidRPr="00F560D4">
        <w:rPr>
          <w:b/>
          <w:bCs/>
        </w:rPr>
        <w:t xml:space="preserve">Matter and Energy in Organisms and Ecosystems </w:t>
      </w:r>
    </w:p>
    <w:p w14:paraId="7B5899AB" w14:textId="77777777" w:rsidR="00F560D4" w:rsidRPr="00F560D4" w:rsidRDefault="00F560D4" w:rsidP="00F560D4">
      <w:pPr>
        <w:spacing w:after="120" w:line="240" w:lineRule="auto"/>
        <w:ind w:left="720"/>
        <w:rPr>
          <w:bCs/>
        </w:rPr>
      </w:pPr>
      <w:r w:rsidRPr="00F560D4">
        <w:rPr>
          <w:bCs/>
        </w:rPr>
        <w:t xml:space="preserve">HS-LS1-5 Use a model to illustrate how photosynthesis transforms light energy into stored chemical energy. </w:t>
      </w:r>
    </w:p>
    <w:p w14:paraId="110C3E05" w14:textId="77777777" w:rsidR="00F560D4" w:rsidRPr="00F560D4" w:rsidRDefault="00F560D4" w:rsidP="00F560D4">
      <w:pPr>
        <w:spacing w:after="120" w:line="240" w:lineRule="auto"/>
        <w:ind w:left="720"/>
        <w:rPr>
          <w:bCs/>
        </w:rPr>
      </w:pPr>
      <w:r w:rsidRPr="00F560D4">
        <w:rPr>
          <w:bCs/>
        </w:rPr>
        <w:t xml:space="preserve">HS-LS1-6 Construct and revise an explanation based on evidence for how carbon, hydrogen, and oxygen from sugar molecules may combine with other elements to form amino acids and/or other large carbon-based molecules. </w:t>
      </w:r>
    </w:p>
    <w:p w14:paraId="78ECF89D" w14:textId="28EBB9FA" w:rsidR="00F560D4" w:rsidRDefault="00F560D4" w:rsidP="00F560D4">
      <w:pPr>
        <w:spacing w:after="120" w:line="240" w:lineRule="auto"/>
        <w:ind w:left="720"/>
        <w:rPr>
          <w:bCs/>
        </w:rPr>
      </w:pPr>
      <w:r w:rsidRPr="00F560D4">
        <w:rPr>
          <w:bCs/>
        </w:rPr>
        <w:t>HS-LS1-7 Use a model to illustrate that cellular respiration is a chemical process whereby the bonds of food molecules and oxygen molecules are broken and the bonds in new compounds are formed resulting in a net transfer of energy.</w:t>
      </w:r>
    </w:p>
    <w:p w14:paraId="28B7A96E" w14:textId="673AC2B1" w:rsidR="00F560D4" w:rsidRPr="00F560D4" w:rsidRDefault="008D3F1E" w:rsidP="00F560D4">
      <w:pPr>
        <w:spacing w:after="120" w:line="240" w:lineRule="auto"/>
        <w:ind w:left="720"/>
        <w:rPr>
          <w:bCs/>
        </w:rPr>
      </w:pPr>
      <w:r>
        <w:t xml:space="preserve">HS-LS2-5 Develop a model to illustrate the role of photosynthesis and cellular respiration in the cycling of carbon among the biosphere, atmosphere, hydrosphere, and geosphere. </w:t>
      </w:r>
    </w:p>
    <w:p w14:paraId="5505C4AB" w14:textId="77777777" w:rsidR="00994543" w:rsidRDefault="00994543" w:rsidP="009322AC">
      <w:pPr>
        <w:spacing w:after="120" w:line="240" w:lineRule="auto"/>
        <w:rPr>
          <w:b/>
          <w:bCs/>
        </w:rPr>
      </w:pPr>
    </w:p>
    <w:p w14:paraId="4E65D964" w14:textId="77777777" w:rsidR="00994543" w:rsidRDefault="00994543" w:rsidP="009322AC">
      <w:pPr>
        <w:spacing w:after="120" w:line="240" w:lineRule="auto"/>
        <w:rPr>
          <w:b/>
          <w:bCs/>
        </w:rPr>
      </w:pPr>
    </w:p>
    <w:p w14:paraId="11D07D65" w14:textId="77777777" w:rsidR="00994543" w:rsidRDefault="00994543" w:rsidP="009322AC">
      <w:pPr>
        <w:spacing w:after="120" w:line="240" w:lineRule="auto"/>
        <w:rPr>
          <w:b/>
          <w:bCs/>
        </w:rPr>
      </w:pPr>
    </w:p>
    <w:p w14:paraId="4F32FF59" w14:textId="77777777" w:rsidR="00994543" w:rsidRDefault="00994543" w:rsidP="009322AC">
      <w:pPr>
        <w:spacing w:after="120" w:line="240" w:lineRule="auto"/>
        <w:rPr>
          <w:b/>
          <w:bCs/>
        </w:rPr>
      </w:pPr>
    </w:p>
    <w:p w14:paraId="04FCD526" w14:textId="77777777" w:rsidR="009322AC" w:rsidRPr="009322AC" w:rsidRDefault="009322AC" w:rsidP="009322AC">
      <w:pPr>
        <w:spacing w:after="120" w:line="240" w:lineRule="auto"/>
        <w:rPr>
          <w:b/>
          <w:bCs/>
        </w:rPr>
      </w:pPr>
      <w:r w:rsidRPr="009322AC">
        <w:rPr>
          <w:b/>
          <w:bCs/>
        </w:rPr>
        <w:lastRenderedPageBreak/>
        <w:t xml:space="preserve">Space Systems </w:t>
      </w:r>
    </w:p>
    <w:p w14:paraId="247EA9E4" w14:textId="7289C3E1" w:rsidR="009322AC" w:rsidRDefault="009322AC" w:rsidP="009322AC">
      <w:pPr>
        <w:spacing w:after="120" w:line="240" w:lineRule="auto"/>
        <w:ind w:left="720"/>
        <w:rPr>
          <w:bCs/>
        </w:rPr>
      </w:pPr>
      <w:r w:rsidRPr="009322AC">
        <w:rPr>
          <w:bCs/>
        </w:rPr>
        <w:t>HS-ESS1-1 Develop a model based on evidence to illustrate the life span of the sun and the role of nuclear fusion in the sun’s core to release energy that eventually reaches Earth in the form of radiation.</w:t>
      </w:r>
    </w:p>
    <w:p w14:paraId="17744BC3" w14:textId="306A8A48" w:rsidR="008D3F1E" w:rsidRPr="009322AC" w:rsidRDefault="008D3F1E" w:rsidP="009322AC">
      <w:pPr>
        <w:spacing w:after="120" w:line="240" w:lineRule="auto"/>
        <w:ind w:left="720"/>
        <w:rPr>
          <w:bCs/>
        </w:rPr>
      </w:pPr>
      <w:r>
        <w:t>HS-ESS1-3 Communicate scientific ideas about the way stars, over their life cycle, produce elements.</w:t>
      </w:r>
    </w:p>
    <w:p w14:paraId="3F6F35F5" w14:textId="77777777" w:rsidR="00EA2F51" w:rsidRPr="00EA2F51" w:rsidRDefault="00EA2F51" w:rsidP="00EA2F51">
      <w:pPr>
        <w:spacing w:after="120" w:line="240" w:lineRule="auto"/>
        <w:rPr>
          <w:bCs/>
        </w:rPr>
      </w:pPr>
      <w:r w:rsidRPr="00EA2F51">
        <w:rPr>
          <w:b/>
          <w:bCs/>
        </w:rPr>
        <w:t xml:space="preserve">Earth’s Systems </w:t>
      </w:r>
    </w:p>
    <w:p w14:paraId="4D8F1E7A" w14:textId="77777777" w:rsidR="00EA2F51" w:rsidRPr="00EA2F51" w:rsidRDefault="00EA2F51" w:rsidP="00EA2F51">
      <w:pPr>
        <w:spacing w:after="120" w:line="240" w:lineRule="auto"/>
        <w:ind w:left="720"/>
        <w:rPr>
          <w:bCs/>
        </w:rPr>
      </w:pPr>
      <w:r w:rsidRPr="00EA2F51">
        <w:rPr>
          <w:bCs/>
        </w:rPr>
        <w:t xml:space="preserve">HS-ESS2-6 Develop a quantitative model to describe the cycling of carbon among the hydrosphere, atmosphere, geosphere, and biosphere. </w:t>
      </w:r>
    </w:p>
    <w:p w14:paraId="58E1678F" w14:textId="06911128" w:rsidR="00EA2F51" w:rsidRPr="00EF1DB4" w:rsidRDefault="00EA2F51" w:rsidP="00EA2F51">
      <w:pPr>
        <w:spacing w:after="120" w:line="240" w:lineRule="auto"/>
        <w:ind w:left="720"/>
        <w:rPr>
          <w:bCs/>
        </w:rPr>
      </w:pPr>
      <w:r w:rsidRPr="00EA2F51">
        <w:rPr>
          <w:bCs/>
        </w:rPr>
        <w:t>HS-ESS2-7 Construct an argument based on evidence about the simultaneous coevolution of Earth’s systems and life on Earth.</w:t>
      </w:r>
    </w:p>
    <w:p w14:paraId="44A8EDAC" w14:textId="1678413D" w:rsidR="00263C99" w:rsidRDefault="00F73483" w:rsidP="00EF1DB4">
      <w:pPr>
        <w:spacing w:after="120" w:line="240" w:lineRule="auto"/>
        <w:rPr>
          <w:b/>
          <w:bCs/>
        </w:rPr>
      </w:pPr>
      <w:r w:rsidRPr="008D3F1E">
        <w:rPr>
          <w:b/>
          <w:bCs/>
        </w:rPr>
        <w:t>Engineering Design</w:t>
      </w:r>
    </w:p>
    <w:p w14:paraId="7E20BCFF" w14:textId="77777777" w:rsidR="00EF1DB4" w:rsidRPr="00EF1DB4" w:rsidRDefault="00EF1DB4" w:rsidP="00EF1DB4">
      <w:pPr>
        <w:spacing w:after="120" w:line="240" w:lineRule="auto"/>
        <w:ind w:left="720"/>
        <w:rPr>
          <w:bCs/>
        </w:rPr>
      </w:pPr>
      <w:r w:rsidRPr="00EF1DB4">
        <w:rPr>
          <w:bCs/>
        </w:rPr>
        <w:t>HS-ETS1-1 Analyze a major global challenge to specify qualitative and quantitative criteria and constraints for solutions that account for societal needs and wants.</w:t>
      </w:r>
    </w:p>
    <w:p w14:paraId="6D1DCB82" w14:textId="48FF77E6" w:rsidR="00EF1DB4" w:rsidRDefault="00EF1DB4" w:rsidP="00EF1DB4">
      <w:pPr>
        <w:spacing w:after="120" w:line="240" w:lineRule="auto"/>
        <w:ind w:left="720"/>
        <w:rPr>
          <w:bCs/>
        </w:rPr>
      </w:pPr>
      <w:r w:rsidRPr="00EF1DB4">
        <w:rPr>
          <w:bCs/>
        </w:rPr>
        <w:t>HS-ETS1-2 Design a solution to a complex real-world problem by breaking it down into smaller, more manageable problems that can be solved through engineering.</w:t>
      </w:r>
    </w:p>
    <w:p w14:paraId="44013E5A" w14:textId="77777777" w:rsidR="00263C99" w:rsidRDefault="00F73483" w:rsidP="00263C99">
      <w:pPr>
        <w:spacing w:after="120" w:line="240" w:lineRule="auto"/>
        <w:ind w:left="720"/>
        <w:rPr>
          <w:bCs/>
        </w:rPr>
      </w:pPr>
      <w:r w:rsidRPr="00F73483">
        <w:rPr>
          <w:bCs/>
        </w:rPr>
        <w:t>HS-ETS1-3</w:t>
      </w:r>
      <w:r w:rsidRPr="00263C99">
        <w:rPr>
          <w:bCs/>
        </w:rPr>
        <w:t xml:space="preserve"> </w:t>
      </w:r>
      <w:r w:rsidRPr="00F73483">
        <w:rPr>
          <w:bCs/>
        </w:rPr>
        <w:t>Evaluate a solution to a complex real-world problem based on prioritized criteria and trade-offs that account for a range of constraints, including cost, safety, reliability, and aesthetics, as well as possible social, cultural, and environmental impacts.</w:t>
      </w:r>
    </w:p>
    <w:p w14:paraId="7EFB3889" w14:textId="77777777" w:rsidR="00263C99" w:rsidRDefault="00F73483" w:rsidP="00263C99">
      <w:pPr>
        <w:spacing w:after="120" w:line="240" w:lineRule="auto"/>
        <w:ind w:left="720"/>
        <w:rPr>
          <w:bCs/>
        </w:rPr>
      </w:pPr>
      <w:r w:rsidRPr="00F73483">
        <w:rPr>
          <w:bCs/>
        </w:rPr>
        <w:t>HS-ETS1-4</w:t>
      </w:r>
      <w:r w:rsidRPr="00263C99">
        <w:rPr>
          <w:bCs/>
        </w:rPr>
        <w:t xml:space="preserve"> </w:t>
      </w:r>
      <w:r w:rsidRPr="00F73483">
        <w:rPr>
          <w:bCs/>
        </w:rPr>
        <w:t>Use a computer simulation to model the impact of proposed solutions to a complex real-world problem with numerous criteria and constraints on interactions within and between systems relevant to the problem.</w:t>
      </w:r>
    </w:p>
    <w:p w14:paraId="14333C28" w14:textId="77777777" w:rsidR="00263C99" w:rsidRDefault="00250E4D" w:rsidP="00994543">
      <w:pPr>
        <w:spacing w:after="120" w:line="240" w:lineRule="auto"/>
        <w:rPr>
          <w:color w:val="5B9BD5" w:themeColor="accent1"/>
          <w:sz w:val="26"/>
          <w:szCs w:val="26"/>
        </w:rPr>
      </w:pPr>
      <w:r w:rsidRPr="00263C99">
        <w:rPr>
          <w:color w:val="5B9BD5" w:themeColor="accent1"/>
          <w:sz w:val="26"/>
          <w:szCs w:val="26"/>
        </w:rPr>
        <w:t>Mathematics:</w:t>
      </w:r>
    </w:p>
    <w:p w14:paraId="43A606BA" w14:textId="34F598F1" w:rsidR="00263C99" w:rsidRPr="00263C99" w:rsidRDefault="00A469BB" w:rsidP="00263C99">
      <w:pPr>
        <w:spacing w:after="120" w:line="240" w:lineRule="auto"/>
        <w:ind w:left="720"/>
        <w:rPr>
          <w:bCs/>
        </w:rPr>
      </w:pPr>
      <w:r w:rsidRPr="00263C99">
        <w:rPr>
          <w:bCs/>
        </w:rPr>
        <w:t>MP.2 Reason abstractly and quantitatively. (HS-ESS1-1), (HS-ESS1-3),</w:t>
      </w:r>
      <w:r w:rsidR="00994543">
        <w:rPr>
          <w:bCs/>
        </w:rPr>
        <w:t xml:space="preserve"> </w:t>
      </w:r>
    </w:p>
    <w:p w14:paraId="6D5518F4" w14:textId="2A79E40E" w:rsidR="00263C99" w:rsidRPr="00263C99" w:rsidRDefault="00A469BB" w:rsidP="00263C99">
      <w:pPr>
        <w:spacing w:after="120" w:line="240" w:lineRule="auto"/>
        <w:ind w:left="720"/>
        <w:rPr>
          <w:bCs/>
        </w:rPr>
      </w:pPr>
      <w:r w:rsidRPr="00263C99">
        <w:rPr>
          <w:bCs/>
        </w:rPr>
        <w:t>MP.4 Model with mathematics. (HS-ESS1-1), (HS-ESS1-4)</w:t>
      </w:r>
      <w:r w:rsidR="00994543">
        <w:rPr>
          <w:bCs/>
        </w:rPr>
        <w:t xml:space="preserve">, </w:t>
      </w:r>
      <w:r w:rsidR="00994543" w:rsidRPr="00994543">
        <w:rPr>
          <w:bCs/>
        </w:rPr>
        <w:t>(HS-PS1-8)</w:t>
      </w:r>
    </w:p>
    <w:p w14:paraId="476691D0" w14:textId="51C52EC8" w:rsidR="00263C99" w:rsidRPr="00263C99" w:rsidRDefault="00A469BB" w:rsidP="00263C99">
      <w:pPr>
        <w:spacing w:after="120" w:line="240" w:lineRule="auto"/>
        <w:ind w:left="720"/>
        <w:rPr>
          <w:bCs/>
        </w:rPr>
      </w:pPr>
      <w:r w:rsidRPr="00263C99">
        <w:rPr>
          <w:bCs/>
        </w:rPr>
        <w:t>N-Q.A.1 Use units as a way to understand problems and to guide the solution of multi-step problems; choose and interpret units consistently in formulas; choose and interpret the scale and the origin in graphs and data displays. (HS-ESS1-1), (HS-ESS1-2), (HS-ESS1-4)</w:t>
      </w:r>
      <w:r w:rsidR="00994543">
        <w:rPr>
          <w:bCs/>
        </w:rPr>
        <w:t xml:space="preserve">, </w:t>
      </w:r>
      <w:r w:rsidR="00994543" w:rsidRPr="00994543">
        <w:rPr>
          <w:bCs/>
        </w:rPr>
        <w:t>(HS-PS1-3)</w:t>
      </w:r>
      <w:proofErr w:type="gramStart"/>
      <w:r w:rsidR="00994543" w:rsidRPr="00994543">
        <w:rPr>
          <w:bCs/>
        </w:rPr>
        <w:t>,(</w:t>
      </w:r>
      <w:proofErr w:type="gramEnd"/>
      <w:r w:rsidR="00994543" w:rsidRPr="00994543">
        <w:rPr>
          <w:bCs/>
        </w:rPr>
        <w:t>HS-PS1-8),(HS-PS2-6)</w:t>
      </w:r>
    </w:p>
    <w:p w14:paraId="1FA31EB7" w14:textId="43D7AA6D" w:rsidR="00263C99" w:rsidRPr="00263C99" w:rsidRDefault="00A469BB" w:rsidP="00263C99">
      <w:pPr>
        <w:spacing w:after="120" w:line="240" w:lineRule="auto"/>
        <w:ind w:left="720"/>
        <w:rPr>
          <w:bCs/>
        </w:rPr>
      </w:pPr>
      <w:r w:rsidRPr="00263C99">
        <w:rPr>
          <w:bCs/>
        </w:rPr>
        <w:t xml:space="preserve">N-Q.A.2 Define appropriate quantities for the purpose of descriptive modeling. (HS-ESS1-1), </w:t>
      </w:r>
      <w:r w:rsidR="00994543" w:rsidRPr="00994543">
        <w:rPr>
          <w:bCs/>
        </w:rPr>
        <w:t>(HS-PS1-8), (HS-PS2-6)</w:t>
      </w:r>
    </w:p>
    <w:p w14:paraId="3B3A0516" w14:textId="76A8B19C" w:rsidR="00994543" w:rsidRDefault="00A469BB" w:rsidP="00263C99">
      <w:pPr>
        <w:spacing w:after="120" w:line="240" w:lineRule="auto"/>
        <w:ind w:left="720"/>
        <w:rPr>
          <w:bCs/>
        </w:rPr>
      </w:pPr>
      <w:r w:rsidRPr="00263C99">
        <w:rPr>
          <w:bCs/>
        </w:rPr>
        <w:t xml:space="preserve">N-Q.A.3 Choose a level of accuracy appropriate to limitations on measurement when reporting quantities. (HS-ESS1-1), </w:t>
      </w:r>
      <w:r w:rsidR="00994543" w:rsidRPr="00994543">
        <w:rPr>
          <w:bCs/>
        </w:rPr>
        <w:t>(HS-PS1-3), (HS-PS1-8), (HS-PS2-6)</w:t>
      </w:r>
    </w:p>
    <w:p w14:paraId="677B56E1" w14:textId="58B79560" w:rsidR="00263C99" w:rsidRDefault="00250E4D" w:rsidP="00994543">
      <w:pPr>
        <w:spacing w:after="120" w:line="240" w:lineRule="auto"/>
        <w:rPr>
          <w:color w:val="5B9BD5" w:themeColor="accent1"/>
          <w:sz w:val="26"/>
          <w:szCs w:val="26"/>
        </w:rPr>
      </w:pPr>
      <w:r w:rsidRPr="00263C99">
        <w:rPr>
          <w:color w:val="5B9BD5" w:themeColor="accent1"/>
          <w:sz w:val="26"/>
          <w:szCs w:val="26"/>
        </w:rPr>
        <w:t>ELA:</w:t>
      </w:r>
    </w:p>
    <w:p w14:paraId="7B4EAFD6" w14:textId="2EE3EC40" w:rsidR="008D3F1E" w:rsidRDefault="008D3F1E" w:rsidP="008D3F1E">
      <w:pPr>
        <w:spacing w:after="120" w:line="240" w:lineRule="auto"/>
        <w:ind w:left="720"/>
      </w:pPr>
      <w:r>
        <w:t>RST.9-10.7 Translate quantitative or technical information expressed in words in a text into visual form (e.g., a table or chart) and translate information expressed visually or mathematically (e.g., in an equation) into words. (HS-PS1-1)</w:t>
      </w:r>
    </w:p>
    <w:p w14:paraId="01F35E6C" w14:textId="16D24370" w:rsidR="009160B0" w:rsidRPr="00A469BB" w:rsidRDefault="009160B0" w:rsidP="00263C99">
      <w:pPr>
        <w:spacing w:after="120" w:line="240" w:lineRule="auto"/>
        <w:ind w:left="720"/>
        <w:rPr>
          <w:b/>
          <w:bCs/>
        </w:rPr>
      </w:pPr>
      <w:r w:rsidRPr="00A469BB">
        <w:lastRenderedPageBreak/>
        <w:t xml:space="preserve">RST.11-12.1Cite specific textual evidence to support analysis of science and technical texts, attending to important distinctions the author makes and to any gaps or inconsistencies in the account. </w:t>
      </w:r>
      <w:r w:rsidR="00A469BB" w:rsidRPr="00A469BB">
        <w:t>(HS-ESS1-1),</w:t>
      </w:r>
      <w:r w:rsidR="00A469BB">
        <w:rPr>
          <w:b/>
          <w:bCs/>
        </w:rPr>
        <w:t xml:space="preserve"> </w:t>
      </w:r>
      <w:r w:rsidR="008D3F1E" w:rsidRPr="008D3F1E">
        <w:t>(HS-PS1-3),</w:t>
      </w:r>
      <w:r w:rsidR="008D3F1E">
        <w:t xml:space="preserve"> </w:t>
      </w:r>
      <w:r w:rsidR="008D3F1E" w:rsidRPr="008D3F1E">
        <w:t>(HS-PS2-6)</w:t>
      </w:r>
    </w:p>
    <w:p w14:paraId="30639422" w14:textId="6A750886" w:rsidR="009160B0" w:rsidRDefault="009160B0" w:rsidP="00A469BB">
      <w:pPr>
        <w:pStyle w:val="Heading2"/>
        <w:spacing w:after="120" w:line="240" w:lineRule="auto"/>
        <w:ind w:left="720"/>
        <w:rPr>
          <w:rFonts w:asciiTheme="minorHAnsi" w:eastAsiaTheme="minorHAnsi" w:hAnsiTheme="minorHAnsi" w:cstheme="minorBidi"/>
          <w:b w:val="0"/>
          <w:bCs w:val="0"/>
          <w:color w:val="auto"/>
          <w:sz w:val="22"/>
          <w:szCs w:val="22"/>
        </w:rPr>
      </w:pPr>
      <w:r w:rsidRPr="00A469BB">
        <w:rPr>
          <w:rFonts w:asciiTheme="minorHAnsi" w:eastAsiaTheme="minorHAnsi" w:hAnsiTheme="minorHAnsi" w:cstheme="minorBidi"/>
          <w:b w:val="0"/>
          <w:bCs w:val="0"/>
          <w:color w:val="auto"/>
          <w:sz w:val="22"/>
          <w:szCs w:val="22"/>
        </w:rPr>
        <w:t xml:space="preserve">WHST.9-12.2 Write informative/explanatory texts, including the narration of historical events, scientific procedures/ experiments, or technical processes. </w:t>
      </w:r>
      <w:r w:rsidR="00A469BB" w:rsidRPr="00A469BB">
        <w:rPr>
          <w:rFonts w:asciiTheme="minorHAnsi" w:eastAsiaTheme="minorHAnsi" w:hAnsiTheme="minorHAnsi" w:cstheme="minorBidi"/>
          <w:b w:val="0"/>
          <w:bCs w:val="0"/>
          <w:color w:val="auto"/>
          <w:sz w:val="22"/>
          <w:szCs w:val="22"/>
        </w:rPr>
        <w:t>(HSESS1-3)</w:t>
      </w:r>
      <w:r w:rsidR="008D3F1E">
        <w:rPr>
          <w:rFonts w:asciiTheme="minorHAnsi" w:eastAsiaTheme="minorHAnsi" w:hAnsiTheme="minorHAnsi" w:cstheme="minorBidi"/>
          <w:b w:val="0"/>
          <w:bCs w:val="0"/>
          <w:color w:val="auto"/>
          <w:sz w:val="22"/>
          <w:szCs w:val="22"/>
        </w:rPr>
        <w:t>,</w:t>
      </w:r>
      <w:r w:rsidR="008D3F1E" w:rsidRPr="008D3F1E">
        <w:t xml:space="preserve"> </w:t>
      </w:r>
      <w:r w:rsidR="008D3F1E" w:rsidRPr="008D3F1E">
        <w:rPr>
          <w:rFonts w:asciiTheme="minorHAnsi" w:eastAsiaTheme="minorHAnsi" w:hAnsiTheme="minorHAnsi" w:cstheme="minorBidi"/>
          <w:b w:val="0"/>
          <w:bCs w:val="0"/>
          <w:color w:val="auto"/>
          <w:sz w:val="22"/>
          <w:szCs w:val="22"/>
        </w:rPr>
        <w:t>(HS-PS2-6)</w:t>
      </w:r>
    </w:p>
    <w:p w14:paraId="299D3455" w14:textId="262ADE3D" w:rsidR="00994543" w:rsidRPr="00994543" w:rsidRDefault="00994543" w:rsidP="00994543">
      <w:pPr>
        <w:pStyle w:val="Heading2"/>
        <w:spacing w:after="120" w:line="240" w:lineRule="auto"/>
        <w:ind w:left="720"/>
        <w:rPr>
          <w:rFonts w:asciiTheme="minorHAnsi" w:eastAsiaTheme="minorHAnsi" w:hAnsiTheme="minorHAnsi" w:cstheme="minorBidi"/>
          <w:b w:val="0"/>
          <w:bCs w:val="0"/>
          <w:color w:val="auto"/>
          <w:sz w:val="22"/>
          <w:szCs w:val="22"/>
        </w:rPr>
      </w:pPr>
      <w:r w:rsidRPr="00994543">
        <w:rPr>
          <w:rFonts w:asciiTheme="minorHAnsi" w:eastAsiaTheme="minorHAnsi" w:hAnsiTheme="minorHAnsi" w:cstheme="minorBidi"/>
          <w:b w:val="0"/>
          <w:bCs w:val="0"/>
          <w:color w:val="auto"/>
          <w:sz w:val="22"/>
          <w:szCs w:val="22"/>
        </w:rPr>
        <w:t>WHST.11-12.8</w:t>
      </w:r>
      <w:r>
        <w:rPr>
          <w:rFonts w:asciiTheme="minorHAnsi" w:eastAsiaTheme="minorHAnsi" w:hAnsiTheme="minorHAnsi" w:cstheme="minorBidi"/>
          <w:b w:val="0"/>
          <w:bCs w:val="0"/>
          <w:color w:val="auto"/>
          <w:sz w:val="22"/>
          <w:szCs w:val="22"/>
        </w:rPr>
        <w:t xml:space="preserve"> </w:t>
      </w:r>
      <w:r w:rsidRPr="00994543">
        <w:rPr>
          <w:rFonts w:asciiTheme="minorHAnsi" w:eastAsiaTheme="minorHAnsi" w:hAnsiTheme="minorHAnsi" w:cstheme="minorBidi"/>
          <w:b w:val="0"/>
          <w:bCs w:val="0"/>
          <w:color w:val="auto"/>
          <w:sz w:val="22"/>
          <w:szCs w:val="22"/>
        </w:rPr>
        <w:t xml:space="preserve">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 (HS-PS1-3) </w:t>
      </w:r>
    </w:p>
    <w:p w14:paraId="783D806F" w14:textId="1E104183" w:rsidR="00994543" w:rsidRPr="00994543" w:rsidRDefault="00994543" w:rsidP="00994543">
      <w:pPr>
        <w:pStyle w:val="Heading2"/>
        <w:spacing w:after="120" w:line="240" w:lineRule="auto"/>
        <w:ind w:left="720"/>
      </w:pPr>
      <w:r w:rsidRPr="00994543">
        <w:rPr>
          <w:rFonts w:asciiTheme="minorHAnsi" w:eastAsiaTheme="minorHAnsi" w:hAnsiTheme="minorHAnsi" w:cstheme="minorBidi"/>
          <w:b w:val="0"/>
          <w:bCs w:val="0"/>
          <w:color w:val="auto"/>
          <w:sz w:val="22"/>
          <w:szCs w:val="22"/>
        </w:rPr>
        <w:t>WHST.9-12.9</w:t>
      </w:r>
      <w:r>
        <w:rPr>
          <w:rFonts w:asciiTheme="minorHAnsi" w:eastAsiaTheme="minorHAnsi" w:hAnsiTheme="minorHAnsi" w:cstheme="minorBidi"/>
          <w:b w:val="0"/>
          <w:bCs w:val="0"/>
          <w:color w:val="auto"/>
          <w:sz w:val="22"/>
          <w:szCs w:val="22"/>
        </w:rPr>
        <w:t xml:space="preserve"> </w:t>
      </w:r>
      <w:r w:rsidRPr="00994543">
        <w:rPr>
          <w:rFonts w:asciiTheme="minorHAnsi" w:eastAsiaTheme="minorHAnsi" w:hAnsiTheme="minorHAnsi" w:cstheme="minorBidi"/>
          <w:b w:val="0"/>
          <w:bCs w:val="0"/>
          <w:color w:val="auto"/>
          <w:sz w:val="22"/>
          <w:szCs w:val="22"/>
        </w:rPr>
        <w:t>Draw evidence from informational texts to support analysis, reflection, and research. (HS-PS1-3)</w:t>
      </w:r>
    </w:p>
    <w:p w14:paraId="77065D36" w14:textId="507EE477" w:rsidR="009160B0" w:rsidRDefault="00A469BB" w:rsidP="00A469BB">
      <w:pPr>
        <w:pStyle w:val="Heading2"/>
        <w:spacing w:after="120" w:line="240" w:lineRule="auto"/>
        <w:ind w:left="720"/>
        <w:rPr>
          <w:rFonts w:asciiTheme="minorHAnsi" w:eastAsiaTheme="minorHAnsi" w:hAnsiTheme="minorHAnsi" w:cstheme="minorBidi"/>
          <w:b w:val="0"/>
          <w:bCs w:val="0"/>
          <w:color w:val="auto"/>
          <w:sz w:val="22"/>
          <w:szCs w:val="22"/>
        </w:rPr>
      </w:pPr>
      <w:r w:rsidRPr="00A469BB">
        <w:rPr>
          <w:rFonts w:asciiTheme="minorHAnsi" w:eastAsiaTheme="minorHAnsi" w:hAnsiTheme="minorHAnsi" w:cstheme="minorBidi"/>
          <w:b w:val="0"/>
          <w:bCs w:val="0"/>
          <w:color w:val="auto"/>
          <w:sz w:val="22"/>
          <w:szCs w:val="22"/>
        </w:rPr>
        <w:t>SL.11-12.4 Present claims and findings, emphasizing salient points in a focused, coherent manner with relevant evidence, sound valid reasoning, and well-</w:t>
      </w:r>
      <w:r w:rsidR="00994543">
        <w:rPr>
          <w:rFonts w:asciiTheme="minorHAnsi" w:eastAsiaTheme="minorHAnsi" w:hAnsiTheme="minorHAnsi" w:cstheme="minorBidi"/>
          <w:b w:val="0"/>
          <w:bCs w:val="0"/>
          <w:color w:val="auto"/>
          <w:sz w:val="22"/>
          <w:szCs w:val="22"/>
        </w:rPr>
        <w:t xml:space="preserve">chosen details; use appropriate </w:t>
      </w:r>
      <w:r w:rsidRPr="00A469BB">
        <w:rPr>
          <w:rFonts w:asciiTheme="minorHAnsi" w:eastAsiaTheme="minorHAnsi" w:hAnsiTheme="minorHAnsi" w:cstheme="minorBidi"/>
          <w:b w:val="0"/>
          <w:bCs w:val="0"/>
          <w:color w:val="auto"/>
          <w:sz w:val="22"/>
          <w:szCs w:val="22"/>
        </w:rPr>
        <w:t>eye contact, adequate volume, and clear pronunciation. (HS-ESS1-3)</w:t>
      </w:r>
    </w:p>
    <w:p w14:paraId="34A4AEE3" w14:textId="6B9ED3E6" w:rsidR="00994543" w:rsidRPr="00994543" w:rsidRDefault="00994543" w:rsidP="00994543">
      <w:pPr>
        <w:pStyle w:val="Heading2"/>
        <w:spacing w:after="120" w:line="240" w:lineRule="auto"/>
        <w:ind w:left="720"/>
      </w:pPr>
      <w:r w:rsidRPr="00994543">
        <w:rPr>
          <w:rFonts w:asciiTheme="minorHAnsi" w:eastAsiaTheme="minorHAnsi" w:hAnsiTheme="minorHAnsi" w:cstheme="minorBidi"/>
          <w:b w:val="0"/>
          <w:bCs w:val="0"/>
          <w:color w:val="auto"/>
          <w:sz w:val="22"/>
          <w:szCs w:val="22"/>
        </w:rPr>
        <w:t>SL.11-12.5</w:t>
      </w:r>
      <w:r>
        <w:rPr>
          <w:rFonts w:asciiTheme="minorHAnsi" w:eastAsiaTheme="minorHAnsi" w:hAnsiTheme="minorHAnsi" w:cstheme="minorBidi"/>
          <w:b w:val="0"/>
          <w:bCs w:val="0"/>
          <w:color w:val="auto"/>
          <w:sz w:val="22"/>
          <w:szCs w:val="22"/>
        </w:rPr>
        <w:t xml:space="preserve"> </w:t>
      </w:r>
      <w:r w:rsidRPr="00994543">
        <w:rPr>
          <w:rFonts w:asciiTheme="minorHAnsi" w:eastAsiaTheme="minorHAnsi" w:hAnsiTheme="minorHAnsi" w:cstheme="minorBidi"/>
          <w:b w:val="0"/>
          <w:bCs w:val="0"/>
          <w:color w:val="auto"/>
          <w:sz w:val="22"/>
          <w:szCs w:val="22"/>
        </w:rPr>
        <w:t>Make strategic use of digital media (e.g., textual, graphical, audio, visual, and interactive elements) in presentations to enhance understanding of findings, reasoning, and evidence and to add interest. (HS-LS1-5),</w:t>
      </w:r>
      <w:r>
        <w:rPr>
          <w:rFonts w:asciiTheme="minorHAnsi" w:eastAsiaTheme="minorHAnsi" w:hAnsiTheme="minorHAnsi" w:cstheme="minorBidi"/>
          <w:b w:val="0"/>
          <w:bCs w:val="0"/>
          <w:color w:val="auto"/>
          <w:sz w:val="22"/>
          <w:szCs w:val="22"/>
        </w:rPr>
        <w:t xml:space="preserve"> </w:t>
      </w:r>
      <w:r w:rsidRPr="00994543">
        <w:rPr>
          <w:rFonts w:asciiTheme="minorHAnsi" w:eastAsiaTheme="minorHAnsi" w:hAnsiTheme="minorHAnsi" w:cstheme="minorBidi"/>
          <w:b w:val="0"/>
          <w:bCs w:val="0"/>
          <w:color w:val="auto"/>
          <w:sz w:val="22"/>
          <w:szCs w:val="22"/>
        </w:rPr>
        <w:t>(HS-LS1-7)</w:t>
      </w:r>
    </w:p>
    <w:sectPr w:rsidR="00994543" w:rsidRPr="009945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E84A1" w14:textId="77777777" w:rsidR="0051334D" w:rsidRDefault="0051334D" w:rsidP="00A824BE">
      <w:pPr>
        <w:spacing w:after="0" w:line="240" w:lineRule="auto"/>
      </w:pPr>
      <w:r>
        <w:separator/>
      </w:r>
    </w:p>
  </w:endnote>
  <w:endnote w:type="continuationSeparator" w:id="0">
    <w:p w14:paraId="759A45DF" w14:textId="77777777" w:rsidR="0051334D" w:rsidRDefault="0051334D" w:rsidP="00A82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F805A" w14:textId="77777777" w:rsidR="0051334D" w:rsidRDefault="0051334D" w:rsidP="00A824BE">
      <w:pPr>
        <w:spacing w:after="0" w:line="240" w:lineRule="auto"/>
      </w:pPr>
      <w:r>
        <w:separator/>
      </w:r>
    </w:p>
  </w:footnote>
  <w:footnote w:type="continuationSeparator" w:id="0">
    <w:p w14:paraId="530174B7" w14:textId="77777777" w:rsidR="0051334D" w:rsidRDefault="0051334D" w:rsidP="00A824BE">
      <w:pPr>
        <w:spacing w:after="0" w:line="240" w:lineRule="auto"/>
      </w:pPr>
      <w:r>
        <w:continuationSeparator/>
      </w:r>
    </w:p>
  </w:footnote>
  <w:footnote w:id="1">
    <w:p w14:paraId="082CAB34" w14:textId="6CCA8F94" w:rsidR="001E64D9" w:rsidRPr="001E64D9" w:rsidRDefault="001E64D9">
      <w:pPr>
        <w:pStyle w:val="FootnoteText"/>
        <w:rPr>
          <w:sz w:val="18"/>
          <w:szCs w:val="18"/>
        </w:rPr>
      </w:pPr>
      <w:r>
        <w:rPr>
          <w:rStyle w:val="FootnoteReference"/>
        </w:rPr>
        <w:footnoteRef/>
      </w:r>
      <w:r>
        <w:t xml:space="preserve"> </w:t>
      </w:r>
      <w:r w:rsidRPr="001E64D9">
        <w:rPr>
          <w:sz w:val="18"/>
          <w:szCs w:val="18"/>
        </w:rPr>
        <w:t xml:space="preserve">Excerpted from </w:t>
      </w:r>
      <w:hyperlink r:id="rId1" w:history="1">
        <w:r w:rsidRPr="001E64D9">
          <w:rPr>
            <w:rStyle w:val="Hyperlink"/>
            <w:sz w:val="18"/>
            <w:szCs w:val="18"/>
          </w:rPr>
          <w:t>http://www.nextgenscience.org/sites/ngss/files/PS_High%20School_DCIs%20051413.pdf</w:t>
        </w:r>
      </w:hyperlink>
      <w:r w:rsidRPr="001E64D9">
        <w:rPr>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23D6B"/>
    <w:multiLevelType w:val="hybridMultilevel"/>
    <w:tmpl w:val="F25C7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9BE1E85"/>
    <w:multiLevelType w:val="hybridMultilevel"/>
    <w:tmpl w:val="2AAC752E"/>
    <w:lvl w:ilvl="0" w:tplc="FFA29D3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BB8"/>
    <w:rsid w:val="00015426"/>
    <w:rsid w:val="00023515"/>
    <w:rsid w:val="00031934"/>
    <w:rsid w:val="000D46D0"/>
    <w:rsid w:val="00105719"/>
    <w:rsid w:val="0010596C"/>
    <w:rsid w:val="00173636"/>
    <w:rsid w:val="001A0007"/>
    <w:rsid w:val="001C3EC9"/>
    <w:rsid w:val="001E2A6B"/>
    <w:rsid w:val="001E4ACA"/>
    <w:rsid w:val="001E64D9"/>
    <w:rsid w:val="001F1C04"/>
    <w:rsid w:val="00233B7E"/>
    <w:rsid w:val="00250E4D"/>
    <w:rsid w:val="00253890"/>
    <w:rsid w:val="00263C99"/>
    <w:rsid w:val="002C0FAD"/>
    <w:rsid w:val="002C5EC6"/>
    <w:rsid w:val="002F67DC"/>
    <w:rsid w:val="0036118F"/>
    <w:rsid w:val="00393E18"/>
    <w:rsid w:val="00411D86"/>
    <w:rsid w:val="004B0F5C"/>
    <w:rsid w:val="004C09B3"/>
    <w:rsid w:val="0051334D"/>
    <w:rsid w:val="005473A0"/>
    <w:rsid w:val="00553BF9"/>
    <w:rsid w:val="005A1AB3"/>
    <w:rsid w:val="005B6000"/>
    <w:rsid w:val="005C4E48"/>
    <w:rsid w:val="005F3B9E"/>
    <w:rsid w:val="005F7964"/>
    <w:rsid w:val="00613BB8"/>
    <w:rsid w:val="006E4CD7"/>
    <w:rsid w:val="00736EFA"/>
    <w:rsid w:val="00752A42"/>
    <w:rsid w:val="007B0555"/>
    <w:rsid w:val="007B6CB3"/>
    <w:rsid w:val="00837D36"/>
    <w:rsid w:val="0084288C"/>
    <w:rsid w:val="008B7ABF"/>
    <w:rsid w:val="008D3F1E"/>
    <w:rsid w:val="00901971"/>
    <w:rsid w:val="009160B0"/>
    <w:rsid w:val="00920CA8"/>
    <w:rsid w:val="009322AC"/>
    <w:rsid w:val="009449D7"/>
    <w:rsid w:val="0099127F"/>
    <w:rsid w:val="00994543"/>
    <w:rsid w:val="009978BE"/>
    <w:rsid w:val="00A14D74"/>
    <w:rsid w:val="00A469BB"/>
    <w:rsid w:val="00A660F1"/>
    <w:rsid w:val="00A70706"/>
    <w:rsid w:val="00A824BE"/>
    <w:rsid w:val="00A85997"/>
    <w:rsid w:val="00C85920"/>
    <w:rsid w:val="00C90CD9"/>
    <w:rsid w:val="00CC2AC8"/>
    <w:rsid w:val="00CD7341"/>
    <w:rsid w:val="00D23EBF"/>
    <w:rsid w:val="00D40812"/>
    <w:rsid w:val="00D53F42"/>
    <w:rsid w:val="00D7115F"/>
    <w:rsid w:val="00D73E51"/>
    <w:rsid w:val="00D81435"/>
    <w:rsid w:val="00D8350B"/>
    <w:rsid w:val="00DA21D5"/>
    <w:rsid w:val="00DC78B8"/>
    <w:rsid w:val="00DF3F10"/>
    <w:rsid w:val="00E24F17"/>
    <w:rsid w:val="00E30B7D"/>
    <w:rsid w:val="00E87C0E"/>
    <w:rsid w:val="00EA2F51"/>
    <w:rsid w:val="00EF1DB4"/>
    <w:rsid w:val="00F26FB8"/>
    <w:rsid w:val="00F560D4"/>
    <w:rsid w:val="00F73483"/>
    <w:rsid w:val="00F73D97"/>
    <w:rsid w:val="00F7442C"/>
    <w:rsid w:val="00F94236"/>
    <w:rsid w:val="00FC23DC"/>
    <w:rsid w:val="00FF2048"/>
    <w:rsid w:val="00FF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1C0CA"/>
  <w15:docId w15:val="{A6B2E2D7-6A64-4A9C-9008-EB33F1C5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197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0197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90197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1971"/>
    <w:rPr>
      <w:rFonts w:asciiTheme="majorHAnsi" w:eastAsiaTheme="majorEastAsia" w:hAnsiTheme="majorHAnsi" w:cstheme="majorBidi"/>
      <w:b/>
      <w:bCs/>
      <w:color w:val="5B9BD5" w:themeColor="accent1"/>
      <w:sz w:val="26"/>
      <w:szCs w:val="26"/>
    </w:rPr>
  </w:style>
  <w:style w:type="character" w:customStyle="1" w:styleId="Heading1Char">
    <w:name w:val="Heading 1 Char"/>
    <w:basedOn w:val="DefaultParagraphFont"/>
    <w:link w:val="Heading1"/>
    <w:uiPriority w:val="9"/>
    <w:rsid w:val="00901971"/>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rsid w:val="00901971"/>
    <w:rPr>
      <w:rFonts w:asciiTheme="majorHAnsi" w:eastAsiaTheme="majorEastAsia" w:hAnsiTheme="majorHAnsi" w:cstheme="majorBidi"/>
      <w:b/>
      <w:bCs/>
      <w:color w:val="5B9BD5" w:themeColor="accent1"/>
    </w:rPr>
  </w:style>
  <w:style w:type="paragraph" w:styleId="ListParagraph">
    <w:name w:val="List Paragraph"/>
    <w:basedOn w:val="Normal"/>
    <w:uiPriority w:val="34"/>
    <w:qFormat/>
    <w:rsid w:val="00D81435"/>
    <w:pPr>
      <w:ind w:left="720"/>
      <w:contextualSpacing/>
    </w:pPr>
  </w:style>
  <w:style w:type="paragraph" w:styleId="BalloonText">
    <w:name w:val="Balloon Text"/>
    <w:basedOn w:val="Normal"/>
    <w:link w:val="BalloonTextChar"/>
    <w:uiPriority w:val="99"/>
    <w:semiHidden/>
    <w:unhideWhenUsed/>
    <w:rsid w:val="00D81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435"/>
    <w:rPr>
      <w:rFonts w:ascii="Tahoma" w:hAnsi="Tahoma" w:cs="Tahoma"/>
      <w:sz w:val="16"/>
      <w:szCs w:val="16"/>
    </w:rPr>
  </w:style>
  <w:style w:type="character" w:styleId="Hyperlink">
    <w:name w:val="Hyperlink"/>
    <w:basedOn w:val="DefaultParagraphFont"/>
    <w:uiPriority w:val="99"/>
    <w:unhideWhenUsed/>
    <w:rsid w:val="00023515"/>
    <w:rPr>
      <w:color w:val="0563C1" w:themeColor="hyperlink"/>
      <w:u w:val="single"/>
    </w:rPr>
  </w:style>
  <w:style w:type="character" w:styleId="FollowedHyperlink">
    <w:name w:val="FollowedHyperlink"/>
    <w:basedOn w:val="DefaultParagraphFont"/>
    <w:uiPriority w:val="99"/>
    <w:semiHidden/>
    <w:unhideWhenUsed/>
    <w:rsid w:val="004B0F5C"/>
    <w:rPr>
      <w:color w:val="954F72" w:themeColor="followedHyperlink"/>
      <w:u w:val="single"/>
    </w:rPr>
  </w:style>
  <w:style w:type="paragraph" w:styleId="FootnoteText">
    <w:name w:val="footnote text"/>
    <w:basedOn w:val="Normal"/>
    <w:link w:val="FootnoteTextChar"/>
    <w:uiPriority w:val="99"/>
    <w:semiHidden/>
    <w:unhideWhenUsed/>
    <w:rsid w:val="00A824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24BE"/>
    <w:rPr>
      <w:sz w:val="20"/>
      <w:szCs w:val="20"/>
    </w:rPr>
  </w:style>
  <w:style w:type="character" w:styleId="FootnoteReference">
    <w:name w:val="footnote reference"/>
    <w:basedOn w:val="DefaultParagraphFont"/>
    <w:uiPriority w:val="99"/>
    <w:semiHidden/>
    <w:unhideWhenUsed/>
    <w:rsid w:val="00A824BE"/>
    <w:rPr>
      <w:vertAlign w:val="superscript"/>
    </w:rPr>
  </w:style>
  <w:style w:type="paragraph" w:customStyle="1" w:styleId="Default">
    <w:name w:val="Default"/>
    <w:rsid w:val="00EF1DB4"/>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4376">
      <w:bodyDiv w:val="1"/>
      <w:marLeft w:val="0"/>
      <w:marRight w:val="0"/>
      <w:marTop w:val="0"/>
      <w:marBottom w:val="0"/>
      <w:divBdr>
        <w:top w:val="none" w:sz="0" w:space="0" w:color="auto"/>
        <w:left w:val="none" w:sz="0" w:space="0" w:color="auto"/>
        <w:bottom w:val="none" w:sz="0" w:space="0" w:color="auto"/>
        <w:right w:val="none" w:sz="0" w:space="0" w:color="auto"/>
      </w:divBdr>
    </w:div>
    <w:div w:id="963384156">
      <w:bodyDiv w:val="1"/>
      <w:marLeft w:val="0"/>
      <w:marRight w:val="0"/>
      <w:marTop w:val="0"/>
      <w:marBottom w:val="0"/>
      <w:divBdr>
        <w:top w:val="none" w:sz="0" w:space="0" w:color="auto"/>
        <w:left w:val="none" w:sz="0" w:space="0" w:color="auto"/>
        <w:bottom w:val="none" w:sz="0" w:space="0" w:color="auto"/>
        <w:right w:val="none" w:sz="0" w:space="0" w:color="auto"/>
      </w:divBdr>
    </w:div>
    <w:div w:id="1416710434">
      <w:bodyDiv w:val="1"/>
      <w:marLeft w:val="0"/>
      <w:marRight w:val="0"/>
      <w:marTop w:val="0"/>
      <w:marBottom w:val="0"/>
      <w:divBdr>
        <w:top w:val="none" w:sz="0" w:space="0" w:color="auto"/>
        <w:left w:val="none" w:sz="0" w:space="0" w:color="auto"/>
        <w:bottom w:val="none" w:sz="0" w:space="0" w:color="auto"/>
        <w:right w:val="none" w:sz="0" w:space="0" w:color="auto"/>
      </w:divBdr>
    </w:div>
    <w:div w:id="1426069911">
      <w:bodyDiv w:val="1"/>
      <w:marLeft w:val="0"/>
      <w:marRight w:val="0"/>
      <w:marTop w:val="0"/>
      <w:marBottom w:val="0"/>
      <w:divBdr>
        <w:top w:val="none" w:sz="0" w:space="0" w:color="auto"/>
        <w:left w:val="none" w:sz="0" w:space="0" w:color="auto"/>
        <w:bottom w:val="none" w:sz="0" w:space="0" w:color="auto"/>
        <w:right w:val="none" w:sz="0" w:space="0" w:color="auto"/>
      </w:divBdr>
    </w:div>
    <w:div w:id="1436637178">
      <w:bodyDiv w:val="1"/>
      <w:marLeft w:val="0"/>
      <w:marRight w:val="0"/>
      <w:marTop w:val="0"/>
      <w:marBottom w:val="0"/>
      <w:divBdr>
        <w:top w:val="none" w:sz="0" w:space="0" w:color="auto"/>
        <w:left w:val="none" w:sz="0" w:space="0" w:color="auto"/>
        <w:bottom w:val="none" w:sz="0" w:space="0" w:color="auto"/>
        <w:right w:val="none" w:sz="0" w:space="0" w:color="auto"/>
      </w:divBdr>
    </w:div>
    <w:div w:id="162923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extgenscience.org/sites/ngss/files/PS_High%20School_DCIs%200514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9617D-9E93-48D9-847B-536E2039E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Anne Hodges</dc:creator>
  <cp:lastModifiedBy>Greg Johnson</cp:lastModifiedBy>
  <cp:revision>2</cp:revision>
  <cp:lastPrinted>2014-05-30T18:07:00Z</cp:lastPrinted>
  <dcterms:created xsi:type="dcterms:W3CDTF">2016-02-17T17:00:00Z</dcterms:created>
  <dcterms:modified xsi:type="dcterms:W3CDTF">2016-02-17T17:00:00Z</dcterms:modified>
</cp:coreProperties>
</file>